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F2" w:rsidRDefault="00523DF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W w:w="9782" w:type="dxa"/>
        <w:tblInd w:w="-176" w:type="dxa"/>
        <w:tblLayout w:type="fixed"/>
        <w:tblLook w:val="0000"/>
      </w:tblPr>
      <w:tblGrid>
        <w:gridCol w:w="2694"/>
        <w:gridCol w:w="265"/>
        <w:gridCol w:w="3026"/>
        <w:gridCol w:w="279"/>
        <w:gridCol w:w="3518"/>
      </w:tblGrid>
      <w:tr w:rsidR="00523DF2">
        <w:tc>
          <w:tcPr>
            <w:tcW w:w="2694" w:type="dxa"/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ПРИНЯТО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общим собранием трудового коллектива</w:t>
            </w:r>
          </w:p>
          <w:p w:rsidR="00271E6E" w:rsidRDefault="00271E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___________________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(Ф.И.О.)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СОГЛАСОВАНО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 председателем ПО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_____________________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(Ф.И.О.)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УТВЕРЖДЕНО</w:t>
            </w:r>
          </w:p>
          <w:p w:rsidR="00523DF2" w:rsidRDefault="00271E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заведующей</w:t>
            </w:r>
            <w:r w:rsidR="00E31481">
              <w:rPr>
                <w:b/>
                <w:color w:val="000000"/>
                <w:sz w:val="24"/>
                <w:szCs w:val="24"/>
              </w:rPr>
              <w:t xml:space="preserve"> дошкольного образовательного учреждения</w:t>
            </w:r>
            <w:r>
              <w:rPr>
                <w:b/>
                <w:color w:val="000000"/>
                <w:sz w:val="24"/>
                <w:szCs w:val="24"/>
              </w:rPr>
              <w:t xml:space="preserve"> № 9</w:t>
            </w:r>
          </w:p>
          <w:p w:rsidR="00271E6E" w:rsidRDefault="00271E6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________________________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(Ф.И.О.)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23DF2">
        <w:tc>
          <w:tcPr>
            <w:tcW w:w="2694" w:type="dxa"/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265" w:type="dxa"/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«__» ___________ 20__ г.</w:t>
            </w:r>
          </w:p>
        </w:tc>
        <w:tc>
          <w:tcPr>
            <w:tcW w:w="279" w:type="dxa"/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«__» ___________ 20__ г.</w:t>
            </w:r>
          </w:p>
        </w:tc>
      </w:tr>
    </w:tbl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ЛОКАЛЬНЫЙ АКТ </w:t>
      </w:r>
    </w:p>
    <w:p w:rsidR="00271E6E" w:rsidRDefault="00E31481" w:rsidP="00A1463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Примерное положение о порядке распределения стимулирующей част</w:t>
      </w:r>
      <w:r>
        <w:rPr>
          <w:b/>
          <w:color w:val="000000"/>
          <w:sz w:val="36"/>
          <w:szCs w:val="36"/>
        </w:rPr>
        <w:t xml:space="preserve">и фонда оплаты труда работников </w:t>
      </w:r>
      <w:r>
        <w:rPr>
          <w:b/>
          <w:color w:val="000000"/>
          <w:sz w:val="36"/>
          <w:szCs w:val="36"/>
        </w:rPr>
        <w:t xml:space="preserve">дошкольного  </w:t>
      </w:r>
    </w:p>
    <w:p w:rsidR="00271E6E" w:rsidRDefault="00E31481" w:rsidP="00A1463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образовательного учреждения</w:t>
      </w:r>
    </w:p>
    <w:p w:rsidR="00523DF2" w:rsidRDefault="00A14638" w:rsidP="00A1463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№ 9</w:t>
      </w:r>
      <w:r w:rsidR="00271E6E">
        <w:rPr>
          <w:color w:val="000000"/>
          <w:sz w:val="36"/>
          <w:szCs w:val="36"/>
        </w:rPr>
        <w:t xml:space="preserve"> г.Буйнакска</w:t>
      </w:r>
    </w:p>
    <w:p w:rsidR="00271E6E" w:rsidRDefault="00271E6E">
      <w:pPr>
        <w:pStyle w:val="normal"/>
        <w:pBdr>
          <w:top w:val="nil"/>
          <w:left w:val="nil"/>
          <w:bottom w:val="single" w:sz="12" w:space="1" w:color="auto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:rsidR="00271E6E" w:rsidRDefault="00271E6E">
      <w:pPr>
        <w:pStyle w:val="normal"/>
        <w:pBdr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:rsidR="00523DF2" w:rsidRPr="00271E6E" w:rsidRDefault="00523DF2" w:rsidP="00271E6E">
      <w:pPr>
        <w:pStyle w:val="normal"/>
        <w:pBdr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vertAlign w:val="superscript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1.Общие положения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разработано на основании статей 144, 145 Трудового Кодекса РФ, Закона Республики Дагестан от 7 апреля 2009г. №25 «О новых системах оплаты труда работников государственных учреждений Республики Дагестан», Постановлением Правительств</w:t>
      </w:r>
      <w:r>
        <w:rPr>
          <w:color w:val="000000"/>
          <w:sz w:val="28"/>
          <w:szCs w:val="28"/>
        </w:rPr>
        <w:t>а Республики Дагестан от 28 апреля 2009г. №117 «О внедрении  новых систем оплаты труда работников государственных учреждений Республики Дагестан» и последующих Постановлений Правительства Республики Дагестан в целях усиления материальной заинтересованности</w:t>
      </w:r>
      <w:r>
        <w:rPr>
          <w:color w:val="000000"/>
          <w:sz w:val="28"/>
          <w:szCs w:val="28"/>
        </w:rPr>
        <w:t xml:space="preserve"> работников общеобразовательных учреждений в развитии творческой активности и инициативы при реализации поставленных перед коллективом задач, повышение качества образовательного и воспитательного процесса, укрепление и развитие материально-технической базы</w:t>
      </w:r>
      <w:r>
        <w:rPr>
          <w:color w:val="000000"/>
          <w:sz w:val="28"/>
          <w:szCs w:val="28"/>
        </w:rPr>
        <w:t xml:space="preserve"> в конечном результате деятельности.</w:t>
      </w:r>
    </w:p>
    <w:p w:rsidR="00523DF2" w:rsidRDefault="00E314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определяет критерии и показатели качества, а также результативности деятельности, в основе которых лежит установление размера стимулирующей надбавки педагогических работников дошкольного образовательного учреждения.</w:t>
      </w:r>
    </w:p>
    <w:p w:rsidR="00523DF2" w:rsidRDefault="00E314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распространяется на </w:t>
      </w:r>
      <w:r>
        <w:rPr>
          <w:color w:val="000000"/>
          <w:sz w:val="28"/>
          <w:szCs w:val="28"/>
        </w:rPr>
        <w:t xml:space="preserve">педагогических работников </w:t>
      </w:r>
    </w:p>
    <w:p w:rsidR="00523DF2" w:rsidRDefault="00E314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устанавливает порядок определения размера стимулирующих выплат.</w:t>
      </w:r>
    </w:p>
    <w:p w:rsidR="00523DF2" w:rsidRDefault="00E31481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рассмотрения и назначения надбавок стимулирующего характера в дошкольном образовательном учреждении создается комиссия. В компетенцию комиссии входит: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рассмотрение материалов, определяющих размер выплаты стимулирующих надбавок;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решений о соответствии деятельности работника требованиям к установлению размера надбавки или отказе в установлении надбавки.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комиссии является действительным</w:t>
      </w:r>
      <w:r>
        <w:rPr>
          <w:color w:val="000000"/>
          <w:sz w:val="28"/>
          <w:szCs w:val="28"/>
        </w:rPr>
        <w:t>, если за него проголосовало более половины состава.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комиссии оформляется протоколом, на основании которого издается приказ по учреждению о производстве выплат стимулирующего характера.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стимулирования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При определении размера надбавок учитываются следующие показатели:</w:t>
      </w:r>
    </w:p>
    <w:p w:rsidR="00523DF2" w:rsidRDefault="00E314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качественное выполнение функциональных обязанностей согласно должностной инструкции, неукоснительное соблюдение норм трудовой дисциплины и правил внутреннего трудового распорядка;</w:t>
      </w:r>
    </w:p>
    <w:p w:rsidR="00523DF2" w:rsidRDefault="00E3148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</w:t>
      </w:r>
      <w:r>
        <w:rPr>
          <w:color w:val="000000"/>
          <w:sz w:val="28"/>
          <w:szCs w:val="28"/>
        </w:rPr>
        <w:t>вление творческой инициативы, самостоятельности, ответственного отношения к профессиональной деятельности.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45"/>
          <w:tab w:val="left" w:pos="8179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Основания для стимулирования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Выплаты стимулирующих надбавок осуществляются по приказу заведующего дошкольного образовательного учреждения на основании решения комиссии.</w:t>
      </w:r>
    </w:p>
    <w:p w:rsidR="00523DF2" w:rsidRDefault="00E314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  <w:tab w:val="left" w:pos="4961"/>
          <w:tab w:val="left" w:pos="6730"/>
          <w:tab w:val="left" w:pos="945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является локальным нормативным актом дошкольного образовательного учреждения, регулирующим порядок ра</w:t>
      </w:r>
      <w:r>
        <w:rPr>
          <w:color w:val="000000"/>
          <w:sz w:val="28"/>
          <w:szCs w:val="28"/>
        </w:rPr>
        <w:t>спределения стимулирующей части фонда оплаты труда. Положение принимается на общем собрании трудового коллектива.</w:t>
      </w:r>
    </w:p>
    <w:p w:rsidR="00523DF2" w:rsidRDefault="00E3148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педагогических работников дошкольного образовательного учреждения выплаты стимулирующего характера за стаж непрерывной работы, за интенсивность и высокие результаты работы, за качество выполняемых работ, премиальные выплаты по итогам работы устанавлива</w:t>
      </w:r>
      <w:r>
        <w:rPr>
          <w:color w:val="000000"/>
          <w:sz w:val="28"/>
          <w:szCs w:val="28"/>
        </w:rPr>
        <w:t>ются в виде постоянной единицы (рублях) ежемесячно.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8064"/>
          <w:tab w:val="left" w:pos="9972"/>
        </w:tabs>
        <w:ind w:firstLine="720"/>
        <w:jc w:val="both"/>
        <w:rPr>
          <w:color w:val="000000"/>
          <w:sz w:val="28"/>
          <w:szCs w:val="28"/>
          <w:vertAlign w:val="subscript"/>
        </w:rPr>
      </w:pPr>
      <w:r>
        <w:rPr>
          <w:b/>
          <w:color w:val="000000"/>
          <w:sz w:val="28"/>
          <w:szCs w:val="28"/>
        </w:rPr>
        <w:t>4. Виды и размеры выплат стимулирующего характера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Виды и размеры выплат стимулирующей части фонда оплаты труда работникам дошкольного образовательного учреждения устанавливается на основании утвержд</w:t>
      </w:r>
      <w:r>
        <w:rPr>
          <w:color w:val="000000"/>
          <w:sz w:val="28"/>
          <w:szCs w:val="28"/>
        </w:rPr>
        <w:t>ённых Положением «Критериев для расчёта выплат стимулирующей части фонда оплаты труда» (Приложения №1 - №8).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Порядок определения размера стимулирующих выплат 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Стимулирующие выплаты работникам дошкольного образовательного учреждения производятся ежемесячно.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конце каждого месяца (квартала, полугодия) производится подсчет баллов по максимально возможному количеству критериев и показателей для каждого работни</w:t>
      </w:r>
      <w:r>
        <w:rPr>
          <w:color w:val="000000"/>
          <w:sz w:val="28"/>
          <w:szCs w:val="28"/>
        </w:rPr>
        <w:t>ка дошкольного образовательного учреждения.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Суммируются баллы, полученные всеми педагогическими работниками дошкольного образовательного учреждения (общая сумма баллов).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Размер стимулирующей части педагогических работников, запланированный на месяц делится на общую сумму баллов. В результате получается стоимость одного балла в рублях.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Этот показатель (стоимость одного балла) умножается на сумму баллов педагога уч</w:t>
      </w:r>
      <w:r>
        <w:rPr>
          <w:color w:val="000000"/>
          <w:sz w:val="28"/>
          <w:szCs w:val="28"/>
        </w:rPr>
        <w:t>реждения. В результате получается размер стимулирующих выплат каждому педагогу за месяц.</w:t>
      </w:r>
    </w:p>
    <w:p w:rsidR="00523DF2" w:rsidRDefault="00E3148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 стимулирующих  выплат заместителю руководителя по воспитательной и методической работе устанавливает руководитель  </w:t>
      </w:r>
      <w:r>
        <w:rPr>
          <w:color w:val="000000"/>
          <w:sz w:val="28"/>
          <w:szCs w:val="28"/>
        </w:rPr>
        <w:lastRenderedPageBreak/>
        <w:t>учреждения по согласованию с комиссией по рас</w:t>
      </w:r>
      <w:r>
        <w:rPr>
          <w:color w:val="000000"/>
          <w:sz w:val="28"/>
          <w:szCs w:val="28"/>
        </w:rPr>
        <w:t>пределению стимулирующих надбавок.</w:t>
      </w:r>
    </w:p>
    <w:p w:rsidR="00523DF2" w:rsidRDefault="00E3148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Стимулирующие надбавки руководителя устанавливаются приказом Учредителя. 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Порядок выплат стимулирующего характера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 Порядок выплат стимулирующего характера утвержден на собрании трудового коллектива. 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ind w:firstLine="720"/>
        <w:jc w:val="both"/>
        <w:rPr>
          <w:color w:val="000000"/>
          <w:sz w:val="28"/>
          <w:szCs w:val="28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Заключительные положения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4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Настоящее Положение вступает со дня утверждения руководителем учреждения является основным локальным  актом учреждения, определяющим порядок распределения и установления выплат стимулирующего характера работникам учреждения</w:t>
      </w:r>
      <w:r>
        <w:rPr>
          <w:color w:val="000000"/>
          <w:sz w:val="28"/>
          <w:szCs w:val="28"/>
        </w:rPr>
        <w:t>.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В связи с происходящими изменениями в системе оплаты труда в Положение могут быть внесены изменения, и дополнения в части показателей, размеров и периодичности выплат.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A14638" w:rsidRDefault="00A14638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523DF2" w:rsidRDefault="00523DF2" w:rsidP="00271E6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№1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Критерии для расчёта выплат стимулирующей части 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фонда оплаты труда воспитателя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0"/>
          <w:szCs w:val="10"/>
        </w:rPr>
      </w:pPr>
    </w:p>
    <w:tbl>
      <w:tblPr>
        <w:tblStyle w:val="af0"/>
        <w:tblW w:w="10207" w:type="dxa"/>
        <w:tblInd w:w="-669" w:type="dxa"/>
        <w:tblLayout w:type="fixed"/>
        <w:tblLook w:val="0000"/>
      </w:tblPr>
      <w:tblGrid>
        <w:gridCol w:w="2977"/>
        <w:gridCol w:w="709"/>
        <w:gridCol w:w="4820"/>
        <w:gridCol w:w="1701"/>
      </w:tblGrid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Критерий и его максимальная оценка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Максимальный балл</w:t>
            </w:r>
          </w:p>
        </w:tc>
      </w:tr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Качество воспитания 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1"/>
                <w:tab w:val="left" w:pos="412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Использование комплексных программ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нового поколения. Общие  показатели уровня развития воспитанников организации.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Материальное, методическое и дидактическое обеспечение программ.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Внедрение инновационных педагогических технологий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парциальных программ;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инновационных технологий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</w:tc>
      </w:tr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Низкий по сравнению с муниципальным уровень заболеваемости воспитанников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Выше или на уровне района (города)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Ниже по сравнению с муниципальным уровень заболеваемости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Результативность работы по созданию условий для сохранения и укрепления здоровья воспитанников 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систематическое проведение закаливающих процедур в течение дня;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физминутки, двигательная активность в режиме дня;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стимулирование двигательной активности на прогулках (первая, вторая половина дня);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профилактика простудных заболеваний;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создание условий для формирования привычки к здоровому образу жизни у детей дошкольного   возраста   (физкультурные уголки, спортивное нетрадиционное оборудование, уголок здоровья, фитобар, санитарные бюллетени для родителей и т.д.);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Организация предметно-развивающей среды в групповых помещениях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Участие в организационно-методической работе  детского сада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эпизодически участвует в педсоветах, семинарах, конференциях;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принимает активное участие в педсоветах, семинарах, во взаимопосещениях;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Эффективность педагогической работы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панорама открытых занятий и режимных моментов: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  на уровне детского сада; 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 уровне района, города;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усвоение программного материала по высокому и среднему уровням воспитанников организации к концу квартала: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- 50-60%,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- 60-75%,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- 75-85%,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85% и выше;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12</w:t>
            </w:r>
          </w:p>
        </w:tc>
      </w:tr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8. Участие в конкурсах профессионального мастерства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уровне образовательного учреждения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уровне района, города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уровне республики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федеральном уровне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Участие в мероприятиях,   методических   объединениях, конференциях, семинарах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уровне образовательного учреждения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уровне района, города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уровне республики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федеральном уровне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Повышение проф. уровня воспитателей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своевременное прохождение курсов повышения квалификации,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самообразование;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Взаимодействие с  семьями воспитанников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работа с родителями (беседы, консультации, день открытых дверей, посещение на дому);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отсутствие конфликтных ситуаций;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Снижение отсутствия в организации воспитанников без уважительной причины </w:t>
            </w:r>
          </w:p>
        </w:tc>
        <w:tc>
          <w:tcPr>
            <w:tcW w:w="5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снижается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Снижается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Общий педагогический стаж непрерывной работы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3 до 10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10 до 20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20 до 30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</w:t>
            </w:r>
          </w:p>
        </w:tc>
      </w:tr>
      <w:tr w:rsidR="00523DF2"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</w:tc>
      </w:tr>
      <w:tr w:rsidR="00523DF2">
        <w:tc>
          <w:tcPr>
            <w:tcW w:w="8506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 Общественная работа и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8506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 Награды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</w:t>
            </w:r>
          </w:p>
        </w:tc>
      </w:tr>
      <w:tr w:rsidR="00523DF2"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523DF2">
        <w:tc>
          <w:tcPr>
            <w:tcW w:w="2977" w:type="dxa"/>
            <w:tcBorders>
              <w:top w:val="single" w:sz="4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№2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Критерии для расчёта выплат стимулирующей части </w:t>
      </w: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фонда оплаты труда музыкального руководителя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1"/>
        <w:tblW w:w="10348" w:type="dxa"/>
        <w:tblInd w:w="-669" w:type="dxa"/>
        <w:tblLayout w:type="fixed"/>
        <w:tblLook w:val="0000"/>
      </w:tblPr>
      <w:tblGrid>
        <w:gridCol w:w="3261"/>
        <w:gridCol w:w="5400"/>
        <w:gridCol w:w="1687"/>
      </w:tblGrid>
      <w:tr w:rsidR="00523DF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Критерий и его максимальная оценка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Способ определения показателя</w:t>
            </w:r>
          </w:p>
        </w:tc>
      </w:tr>
      <w:tr w:rsidR="00523DF2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Качество воспитания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Использование комплексных программ нового поколения. Общие податели уровня развития воспитанников организации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Материальное, методическое и дидактическое обеспечение программ.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Внедрение инновационных педагогических технологий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парциальных программ;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инновационных технологий (ТРИЗ, проектный метод и т.д.);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</w:tc>
      </w:tr>
      <w:tr w:rsidR="00523DF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Организация предметно-развивающей среды в музыкальном зале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Участие в организационно-методической  работе  детского сада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эпизодически участвует в педсоветах, семинарах, конференциях;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принимает активное участие в педсоветах, семинарах, во взаимопосещениях;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8</w:t>
            </w:r>
          </w:p>
        </w:tc>
      </w:tr>
      <w:tr w:rsidR="00523DF2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Эффективность педагогической работы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панорама открытых занятий, развлечений, праздников: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 на уровне детского сада;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 на уровне района, города;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уровне республики;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федеральном уровне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усвоение программного материала по высокому переднему уровням воспитанников организации к концу квартала: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- 50-60%,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- 60-75%,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- 75-85%,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- 85% и выше;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12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участие в конкурсах профессионального мастерства: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 на уровне детского сада;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 на уровне района, города;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уровне республики;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федеральном уровне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Участие в мероприятиях, методических объединениях, конференциях, семинарах: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 на уровне детского сада;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 на уровне района, города;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уровне республики;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федеральном уровне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6. Повышение проф. уровня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своевременное прохождение курсов повышения квалификации,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523DF2"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самообразование;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23DF2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Взаимодействие с семьями воспитанников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беседы, консультации, день открытых дверей и т.д.;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нетрадиционные формы работы с родителями (музыкальная гостиная, конкурсы, семейные праздники и т.д.);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отсутствие конфликтных ситуаций;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Ведение общественной работы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Общий педагогический стаж непрерывной работы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 3 до 10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 10 до 20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от 20 до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23DF2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свыше 30 лет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523DF2">
        <w:tc>
          <w:tcPr>
            <w:tcW w:w="8661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Награды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</w:t>
            </w:r>
          </w:p>
        </w:tc>
      </w:tr>
      <w:tr w:rsidR="00523DF2">
        <w:tc>
          <w:tcPr>
            <w:tcW w:w="8661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 Общественная работа и мероприятия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8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A14638" w:rsidRDefault="00A14638" w:rsidP="00A14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23DF2" w:rsidRDefault="00A14638" w:rsidP="00A1463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№3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E3148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для расчёта выплат стимулирующей части фонда оплаты труда  заместителю заведующей по воспитательно-методической работе</w:t>
      </w:r>
      <w:r w:rsidR="00271E6E">
        <w:rPr>
          <w:b/>
          <w:color w:val="000000"/>
          <w:sz w:val="28"/>
          <w:szCs w:val="28"/>
        </w:rPr>
        <w:t xml:space="preserve"> или старшему воспитателю</w:t>
      </w: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6"/>
        <w:tblW w:w="10065" w:type="dxa"/>
        <w:tblInd w:w="-527" w:type="dxa"/>
        <w:tblLayout w:type="fixed"/>
        <w:tblLook w:val="0000"/>
      </w:tblPr>
      <w:tblGrid>
        <w:gridCol w:w="3119"/>
        <w:gridCol w:w="5528"/>
        <w:gridCol w:w="1418"/>
      </w:tblGrid>
      <w:tr w:rsidR="00523DF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Критерий и его максимальная оценка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и обозначение показателей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Способ определения показателя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Руководство и организация работы по внедрению образовательных программ нового поколения, инновационных педагогических технологий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  комплексных программ;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  парциальных программ;              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3 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педагогических технологий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Эффективность руководства воспитательной работы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выполнение плана внутрисадовского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плана воспитательной работы;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высокий уровень организации и контроля (мониторинга) учебно-воспитательного процесса;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создание информационной базы, обединяющих различные вариативные формы дошкольного воспитания;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Эстетические условия, оформление помещений,   состояние территории 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Кадровые ресурсы учреждения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Укомплектованность педагогическими кадрами, их качественный состав;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4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Стабильность педагогического коллектива, сохранение молодых специалистов;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4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Развитие педагогического творчества (участие педагогов в научно-исследовательской, опытно--   экспериментальной работе, конкурсах, конференциях):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  на районном, городском уровне;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уровне республики;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федеральном уровне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До 2 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4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 Эффективность управленческой деятельности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Исполнительская дисциплина (качественное ведение документации, своевременное предоставление материалов и др.);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2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Отсутствие обоснованных обращений граждан по поводу конфликтных ситуаций и уровень решения конфликтных ситуаций;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 2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Проведение мониторинга.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Повышение профессионального уровня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Своевременное прохождение курсов повышения квалификации;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Самообразование.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2 </w:t>
            </w:r>
          </w:p>
        </w:tc>
      </w:tr>
      <w:tr w:rsidR="00523DF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Организация работы методического кабинета и его оснащение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4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7.Сохранение здоровья воспитанников в детском саду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Наличие оздоровительной программы для дошкольников;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Участие в организации и проведении мероприятий, способствующих сохранению и восстановлению психического и физического здоровья дошкольников;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Создание комфортных психологических условий воспитания дошкольников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Взаимодействие с семьями воспитанников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Работа с родителями (беседы, консультации, анкетирование, родительские собрания и т.д.)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Организация нетрадиционных форм paботы с родителями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</w:tc>
      </w:tr>
      <w:tr w:rsidR="00523DF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Участи в районных, городских мероприятиях, методических объединениях, конференциях, семинарах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 на уровне района, города;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уровне республики;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 на федеральном уровне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</w:t>
            </w:r>
          </w:p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5</w:t>
            </w:r>
          </w:p>
        </w:tc>
      </w:tr>
      <w:tr w:rsidR="00523DF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Ведение общественной работы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</w:t>
            </w:r>
          </w:p>
        </w:tc>
      </w:tr>
      <w:tr w:rsidR="00523DF2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Общий педагогический стаж непрерывной работы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от 3 до 10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от 10 до 20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от 20 до 30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23DF2"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3DF2" w:rsidRDefault="00523DF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  свыше 30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523DF2">
        <w:tc>
          <w:tcPr>
            <w:tcW w:w="864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 Награды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</w:t>
            </w:r>
          </w:p>
        </w:tc>
      </w:tr>
      <w:tr w:rsidR="00523DF2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DF2" w:rsidRDefault="00E314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23DF2" w:rsidRDefault="00523DF2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sectPr w:rsidR="00523DF2" w:rsidSect="00A14638">
      <w:footerReference w:type="even" r:id="rId7"/>
      <w:footerReference w:type="default" r:id="rId8"/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81" w:rsidRDefault="00E31481" w:rsidP="00A14638">
      <w:pPr>
        <w:spacing w:line="240" w:lineRule="auto"/>
        <w:ind w:left="0" w:hanging="2"/>
      </w:pPr>
      <w:r>
        <w:separator/>
      </w:r>
    </w:p>
  </w:endnote>
  <w:endnote w:type="continuationSeparator" w:id="1">
    <w:p w:rsidR="00E31481" w:rsidRDefault="00E31481" w:rsidP="00A1463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F2" w:rsidRDefault="00523DF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31481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523DF2" w:rsidRDefault="00523DF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F2" w:rsidRDefault="00523DF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31481">
      <w:rPr>
        <w:color w:val="000000"/>
        <w:sz w:val="24"/>
        <w:szCs w:val="24"/>
      </w:rPr>
      <w:instrText>PAGE</w:instrText>
    </w:r>
    <w:r w:rsidR="00A14638">
      <w:rPr>
        <w:color w:val="000000"/>
        <w:sz w:val="24"/>
        <w:szCs w:val="24"/>
      </w:rPr>
      <w:fldChar w:fldCharType="separate"/>
    </w:r>
    <w:r w:rsidR="00271E6E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:rsidR="00523DF2" w:rsidRDefault="00523DF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81" w:rsidRDefault="00E31481" w:rsidP="00A14638">
      <w:pPr>
        <w:spacing w:line="240" w:lineRule="auto"/>
        <w:ind w:left="0" w:hanging="2"/>
      </w:pPr>
      <w:r>
        <w:separator/>
      </w:r>
    </w:p>
  </w:footnote>
  <w:footnote w:type="continuationSeparator" w:id="1">
    <w:p w:rsidR="00E31481" w:rsidRDefault="00E31481" w:rsidP="00A1463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F33"/>
    <w:multiLevelType w:val="multilevel"/>
    <w:tmpl w:val="FD7AE70C"/>
    <w:lvl w:ilvl="0">
      <w:start w:val="5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9D70872"/>
    <w:multiLevelType w:val="multilevel"/>
    <w:tmpl w:val="6FA6B6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E421E60"/>
    <w:multiLevelType w:val="multilevel"/>
    <w:tmpl w:val="031CBC58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2591B0E"/>
    <w:multiLevelType w:val="multilevel"/>
    <w:tmpl w:val="18E21AA2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4EB07D15"/>
    <w:multiLevelType w:val="multilevel"/>
    <w:tmpl w:val="F378D0E6"/>
    <w:lvl w:ilvl="0">
      <w:start w:val="85835328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DF2"/>
    <w:rsid w:val="00271E6E"/>
    <w:rsid w:val="00523DF2"/>
    <w:rsid w:val="00A14638"/>
    <w:rsid w:val="00E3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523DF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normal"/>
    <w:next w:val="normal"/>
    <w:rsid w:val="00523D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23D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23D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23D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23D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23DF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23DF2"/>
  </w:style>
  <w:style w:type="table" w:customStyle="1" w:styleId="TableNormal">
    <w:name w:val="Table Normal"/>
    <w:rsid w:val="00523D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23DF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326" w:lineRule="atLeast"/>
      <w:ind w:firstLine="538"/>
      <w:jc w:val="both"/>
    </w:pPr>
  </w:style>
  <w:style w:type="paragraph" w:customStyle="1" w:styleId="Style5">
    <w:name w:val="Style5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322" w:lineRule="atLeast"/>
      <w:ind w:firstLine="804"/>
      <w:jc w:val="both"/>
    </w:pPr>
  </w:style>
  <w:style w:type="paragraph" w:customStyle="1" w:styleId="Style7">
    <w:name w:val="Style7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326" w:lineRule="atLeast"/>
      <w:ind w:firstLine="698"/>
      <w:jc w:val="both"/>
    </w:pPr>
  </w:style>
  <w:style w:type="character" w:customStyle="1" w:styleId="FontStyle11">
    <w:name w:val="Font Style11"/>
    <w:autoRedefine/>
    <w:hidden/>
    <w:qFormat/>
    <w:rsid w:val="00523DF2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15">
    <w:name w:val="Font Style15"/>
    <w:autoRedefine/>
    <w:hidden/>
    <w:qFormat/>
    <w:rsid w:val="00523DF2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16">
    <w:name w:val="Font Style16"/>
    <w:autoRedefine/>
    <w:hidden/>
    <w:qFormat/>
    <w:rsid w:val="00523DF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8">
    <w:name w:val="Font Style18"/>
    <w:autoRedefine/>
    <w:hidden/>
    <w:qFormat/>
    <w:rsid w:val="00523DF2"/>
    <w:rPr>
      <w:rFonts w:ascii="Times New Roman" w:hAnsi="Times New Roman" w:cs="Times New Roman"/>
      <w:b/>
      <w:bCs/>
      <w:i/>
      <w:iCs/>
      <w:spacing w:val="-2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19">
    <w:name w:val="Font Style19"/>
    <w:autoRedefine/>
    <w:hidden/>
    <w:qFormat/>
    <w:rsid w:val="00523DF2"/>
    <w:rPr>
      <w:rFonts w:ascii="Times New Roman" w:hAnsi="Times New Roman" w:cs="Times New Roman"/>
      <w:b/>
      <w:bCs/>
      <w:i/>
      <w:iCs/>
      <w:spacing w:val="-2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2">
    <w:name w:val="Style2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271" w:lineRule="atLeast"/>
    </w:pPr>
  </w:style>
  <w:style w:type="paragraph" w:customStyle="1" w:styleId="Style3">
    <w:name w:val="Style3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autoRedefine/>
    <w:hidden/>
    <w:qFormat/>
    <w:rsid w:val="00523DF2"/>
    <w:rPr>
      <w:rFonts w:ascii="Times New Roman" w:hAnsi="Times New Roman" w:cs="Times New Roman"/>
      <w:b/>
      <w:bCs/>
      <w:spacing w:val="-1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4">
    <w:name w:val="footer"/>
    <w:basedOn w:val="a"/>
    <w:autoRedefine/>
    <w:hidden/>
    <w:qFormat/>
    <w:rsid w:val="00523DF2"/>
    <w:pPr>
      <w:tabs>
        <w:tab w:val="center" w:pos="4677"/>
        <w:tab w:val="right" w:pos="9355"/>
      </w:tabs>
    </w:pPr>
  </w:style>
  <w:style w:type="character" w:styleId="a5">
    <w:name w:val="page number"/>
    <w:basedOn w:val="a0"/>
    <w:autoRedefine/>
    <w:hidden/>
    <w:qFormat/>
    <w:rsid w:val="00523DF2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autoRedefine/>
    <w:hidden/>
    <w:qFormat/>
    <w:rsid w:val="00523DF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319" w:lineRule="atLeast"/>
      <w:ind w:firstLine="230"/>
    </w:pPr>
  </w:style>
  <w:style w:type="paragraph" w:customStyle="1" w:styleId="Style9">
    <w:name w:val="Style9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autoRedefine/>
    <w:hidden/>
    <w:qFormat/>
    <w:rsid w:val="00523DF2"/>
    <w:rPr>
      <w:rFonts w:ascii="Times New Roman" w:hAnsi="Times New Roman" w:cs="Times New Roman"/>
      <w:i/>
      <w:iCs/>
      <w:spacing w:val="-2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3">
    <w:name w:val="Font Style13"/>
    <w:autoRedefine/>
    <w:hidden/>
    <w:qFormat/>
    <w:rsid w:val="00523DF2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1">
    <w:name w:val="Font Style21"/>
    <w:autoRedefine/>
    <w:hidden/>
    <w:qFormat/>
    <w:rsid w:val="00523DF2"/>
    <w:rPr>
      <w:rFonts w:ascii="Times New Roman" w:hAnsi="Times New Roman" w:cs="Times New Roman"/>
      <w:i/>
      <w:iCs/>
      <w:spacing w:val="-2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">
    <w:name w:val="Style10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209" w:lineRule="atLeast"/>
      <w:jc w:val="center"/>
    </w:pPr>
  </w:style>
  <w:style w:type="paragraph" w:customStyle="1" w:styleId="Style11">
    <w:name w:val="Style11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autoRedefine/>
    <w:hidden/>
    <w:qFormat/>
    <w:rsid w:val="00523DF2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2">
    <w:name w:val="Font Style22"/>
    <w:autoRedefine/>
    <w:hidden/>
    <w:qFormat/>
    <w:rsid w:val="00523DF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3">
    <w:name w:val="Font Style23"/>
    <w:autoRedefine/>
    <w:hidden/>
    <w:qFormat/>
    <w:rsid w:val="00523DF2"/>
    <w:rPr>
      <w:rFonts w:ascii="Times New Roman" w:hAnsi="Times New Roman" w:cs="Times New Roman"/>
      <w:b/>
      <w:bCs/>
      <w:i/>
      <w:iCs/>
      <w:spacing w:val="-1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24">
    <w:name w:val="Font Style24"/>
    <w:autoRedefine/>
    <w:hidden/>
    <w:qFormat/>
    <w:rsid w:val="00523DF2"/>
    <w:rPr>
      <w:rFonts w:ascii="Sylfaen" w:hAnsi="Sylfaen" w:cs="Sylfaen"/>
      <w:i/>
      <w:iCs/>
      <w:spacing w:val="-1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25">
    <w:name w:val="Font Style25"/>
    <w:autoRedefine/>
    <w:hidden/>
    <w:qFormat/>
    <w:rsid w:val="00523DF2"/>
    <w:rPr>
      <w:rFonts w:ascii="Times New Roman" w:hAnsi="Times New Roman" w:cs="Times New Roman"/>
      <w:b/>
      <w:bCs/>
      <w:w w:val="100"/>
      <w:position w:val="-1"/>
      <w:sz w:val="8"/>
      <w:szCs w:val="8"/>
      <w:effect w:val="none"/>
      <w:vertAlign w:val="baseline"/>
      <w:cs w:val="0"/>
      <w:em w:val="none"/>
    </w:rPr>
  </w:style>
  <w:style w:type="character" w:customStyle="1" w:styleId="FontStyle17">
    <w:name w:val="Font Style17"/>
    <w:autoRedefine/>
    <w:hidden/>
    <w:qFormat/>
    <w:rsid w:val="00523DF2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26">
    <w:name w:val="Font Style26"/>
    <w:autoRedefine/>
    <w:hidden/>
    <w:qFormat/>
    <w:rsid w:val="00523DF2"/>
    <w:rPr>
      <w:rFonts w:ascii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Style27">
    <w:name w:val="Font Style27"/>
    <w:autoRedefine/>
    <w:hidden/>
    <w:qFormat/>
    <w:rsid w:val="00523DF2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12">
    <w:name w:val="Style12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278" w:lineRule="atLeast"/>
      <w:jc w:val="right"/>
    </w:pPr>
  </w:style>
  <w:style w:type="paragraph" w:customStyle="1" w:styleId="Style14">
    <w:name w:val="Style14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275" w:lineRule="atLeast"/>
      <w:jc w:val="center"/>
    </w:pPr>
  </w:style>
  <w:style w:type="paragraph" w:customStyle="1" w:styleId="Style15">
    <w:name w:val="Style15"/>
    <w:basedOn w:val="a"/>
    <w:autoRedefine/>
    <w:hidden/>
    <w:qFormat/>
    <w:rsid w:val="00523DF2"/>
    <w:pPr>
      <w:widowControl w:val="0"/>
      <w:autoSpaceDE w:val="0"/>
      <w:autoSpaceDN w:val="0"/>
      <w:adjustRightInd w:val="0"/>
      <w:spacing w:line="278" w:lineRule="atLeast"/>
    </w:pPr>
  </w:style>
  <w:style w:type="character" w:customStyle="1" w:styleId="FontStyle28">
    <w:name w:val="Font Style28"/>
    <w:autoRedefine/>
    <w:hidden/>
    <w:qFormat/>
    <w:rsid w:val="00523DF2"/>
    <w:rPr>
      <w:rFonts w:ascii="Georgia" w:hAnsi="Georgia" w:cs="Georgia"/>
      <w:b/>
      <w:bCs/>
      <w:w w:val="100"/>
      <w:position w:val="-1"/>
      <w:sz w:val="8"/>
      <w:szCs w:val="8"/>
      <w:effect w:val="none"/>
      <w:vertAlign w:val="baseline"/>
      <w:cs w:val="0"/>
      <w:em w:val="none"/>
    </w:rPr>
  </w:style>
  <w:style w:type="paragraph" w:customStyle="1" w:styleId="Style20">
    <w:name w:val="Style20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autoRedefine/>
    <w:hidden/>
    <w:qFormat/>
    <w:rsid w:val="00523DF2"/>
    <w:rPr>
      <w:rFonts w:ascii="Times New Roman" w:hAnsi="Times New Roman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18">
    <w:name w:val="Style18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autoRedefine/>
    <w:hidden/>
    <w:qFormat/>
    <w:rsid w:val="00523DF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33">
    <w:name w:val="Font Style33"/>
    <w:autoRedefine/>
    <w:hidden/>
    <w:qFormat/>
    <w:rsid w:val="00523DF2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34">
    <w:name w:val="Font Style34"/>
    <w:autoRedefine/>
    <w:hidden/>
    <w:qFormat/>
    <w:rsid w:val="00523DF2"/>
    <w:rPr>
      <w:rFonts w:ascii="Candara" w:hAnsi="Candara" w:cs="Candara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paragraph" w:customStyle="1" w:styleId="Style16">
    <w:name w:val="Style16"/>
    <w:basedOn w:val="a"/>
    <w:autoRedefine/>
    <w:hidden/>
    <w:qFormat/>
    <w:rsid w:val="00523DF2"/>
    <w:pPr>
      <w:widowControl w:val="0"/>
      <w:autoSpaceDE w:val="0"/>
      <w:autoSpaceDN w:val="0"/>
      <w:adjustRightInd w:val="0"/>
      <w:jc w:val="center"/>
    </w:pPr>
  </w:style>
  <w:style w:type="character" w:customStyle="1" w:styleId="FontStyle35">
    <w:name w:val="Font Style35"/>
    <w:autoRedefine/>
    <w:hidden/>
    <w:qFormat/>
    <w:rsid w:val="00523DF2"/>
    <w:rPr>
      <w:rFonts w:ascii="Times New Roman" w:hAnsi="Times New Roman" w:cs="Times New Roman"/>
      <w:b/>
      <w:bCs/>
      <w:spacing w:val="-10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FontStyle36">
    <w:name w:val="Font Style36"/>
    <w:autoRedefine/>
    <w:hidden/>
    <w:qFormat/>
    <w:rsid w:val="00523DF2"/>
    <w:rPr>
      <w:rFonts w:ascii="Times New Roman" w:hAnsi="Times New Roman" w:cs="Times New Roman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37">
    <w:name w:val="Font Style37"/>
    <w:autoRedefine/>
    <w:hidden/>
    <w:qFormat/>
    <w:rsid w:val="00523DF2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FontStyle29">
    <w:name w:val="Font Style29"/>
    <w:autoRedefine/>
    <w:hidden/>
    <w:qFormat/>
    <w:rsid w:val="00523DF2"/>
    <w:rPr>
      <w:rFonts w:ascii="Times New Roman" w:hAnsi="Times New Roman" w:cs="Times New Roman"/>
      <w:b/>
      <w:bCs/>
      <w:i/>
      <w:iCs/>
      <w:spacing w:val="-2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Style17">
    <w:name w:val="Style17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autoRedefine/>
    <w:hidden/>
    <w:qFormat/>
    <w:rsid w:val="00523DF2"/>
    <w:rPr>
      <w:rFonts w:ascii="Times New Roman" w:hAnsi="Times New Roman" w:cs="Times New Roman"/>
      <w:b/>
      <w:bCs/>
      <w:i/>
      <w:iCs/>
      <w:spacing w:val="9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Style21">
    <w:name w:val="Style21"/>
    <w:basedOn w:val="a"/>
    <w:autoRedefine/>
    <w:hidden/>
    <w:qFormat/>
    <w:rsid w:val="00523DF2"/>
    <w:pPr>
      <w:widowControl w:val="0"/>
      <w:autoSpaceDE w:val="0"/>
      <w:autoSpaceDN w:val="0"/>
      <w:adjustRightInd w:val="0"/>
    </w:pPr>
  </w:style>
  <w:style w:type="character" w:styleId="a7">
    <w:name w:val="annotation reference"/>
    <w:autoRedefine/>
    <w:hidden/>
    <w:qFormat/>
    <w:rsid w:val="00523DF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autoRedefine/>
    <w:hidden/>
    <w:qFormat/>
    <w:rsid w:val="00523DF2"/>
    <w:rPr>
      <w:sz w:val="20"/>
      <w:szCs w:val="20"/>
    </w:rPr>
  </w:style>
  <w:style w:type="character" w:customStyle="1" w:styleId="a9">
    <w:name w:val="Текст примечания Знак"/>
    <w:basedOn w:val="a0"/>
    <w:autoRedefine/>
    <w:hidden/>
    <w:qFormat/>
    <w:rsid w:val="00523DF2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autoRedefine/>
    <w:hidden/>
    <w:qFormat/>
    <w:rsid w:val="00523DF2"/>
    <w:rPr>
      <w:b/>
      <w:bCs/>
    </w:rPr>
  </w:style>
  <w:style w:type="character" w:customStyle="1" w:styleId="ab">
    <w:name w:val="Тема примечания Знак"/>
    <w:autoRedefine/>
    <w:hidden/>
    <w:qFormat/>
    <w:rsid w:val="00523DF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autoRedefine/>
    <w:hidden/>
    <w:qFormat/>
    <w:rsid w:val="00523DF2"/>
    <w:rPr>
      <w:rFonts w:ascii="Tahoma" w:hAnsi="Tahoma"/>
      <w:sz w:val="16"/>
      <w:szCs w:val="16"/>
    </w:rPr>
  </w:style>
  <w:style w:type="character" w:customStyle="1" w:styleId="ad">
    <w:name w:val="Текст выноски Знак"/>
    <w:autoRedefine/>
    <w:hidden/>
    <w:qFormat/>
    <w:rsid w:val="00523DF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Subtitle"/>
    <w:basedOn w:val="normal"/>
    <w:next w:val="normal"/>
    <w:rsid w:val="00523D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523D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1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2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3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4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5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6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f7">
    <w:basedOn w:val="TableNormal"/>
    <w:rsid w:val="00523DF2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Алим</cp:lastModifiedBy>
  <cp:revision>2</cp:revision>
  <cp:lastPrinted>2019-12-27T09:13:00Z</cp:lastPrinted>
  <dcterms:created xsi:type="dcterms:W3CDTF">2019-12-27T09:16:00Z</dcterms:created>
  <dcterms:modified xsi:type="dcterms:W3CDTF">2019-12-27T09:16:00Z</dcterms:modified>
</cp:coreProperties>
</file>